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line="560" w:lineRule="exact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</w:p>
    <w:p>
      <w:pPr>
        <w:jc w:val="center"/>
        <w:rPr>
          <w:rFonts w:ascii="楷体_GB2312" w:eastAsia="楷体_GB2312" w:hAnsi="楷体_GB2312" w:cs="楷体_GB2312"/>
          <w:sz w:val="32"/>
          <w:szCs w:val="32"/>
        </w:rPr>
      </w:pPr>
      <w:r>
        <w:rPr>
          <w:rFonts w:ascii="黑体" w:eastAsia="黑体" w:hAnsi="黑体" w:cs="黑体" w:hint="eastAsia"/>
          <w:sz w:val="44"/>
          <w:szCs w:val="44"/>
        </w:rPr>
        <w:t>兴山县普法责任单位2022年度普法责任清单</w:t>
      </w:r>
    </w:p>
    <w:p>
      <w:pPr>
        <w:pStyle w:val="2"/>
      </w:pPr>
    </w:p>
    <w:p>
      <w:pPr>
        <w:pStyle w:val="2"/>
        <w:spacing w:after="0"/>
        <w:ind w:firstLine="300"/>
        <w:rPr>
          <w:sz w:val="15"/>
        </w:rPr>
      </w:pPr>
    </w:p>
    <w:tbl>
      <w:tblPr>
        <w:tblStyle w:val="a8"/>
        <w:tblW w:w="15173" w:type="dxa"/>
        <w:tblInd w:w="-423" w:type="dxa"/>
        <w:tblLayout w:type="fixed"/>
        <w:tblLook w:val="04A0"/>
      </w:tblPr>
      <w:tblGrid>
        <w:gridCol w:w="526"/>
        <w:gridCol w:w="197"/>
        <w:gridCol w:w="513"/>
        <w:gridCol w:w="1297"/>
        <w:gridCol w:w="2313"/>
        <w:gridCol w:w="2074"/>
        <w:gridCol w:w="3641"/>
        <w:gridCol w:w="1062"/>
        <w:gridCol w:w="1170"/>
        <w:gridCol w:w="1119"/>
        <w:gridCol w:w="926"/>
        <w:gridCol w:w="335"/>
      </w:tblGrid>
      <w:tr>
        <w:trPr>
          <w:gridAfter w:val="1"/>
          <w:wAfter w:w="335" w:type="dxa"/>
          <w:trHeight w:val="285"/>
        </w:trPr>
        <w:tc>
          <w:tcPr>
            <w:tcW w:w="14838" w:type="dxa"/>
            <w:gridSpan w:val="11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jc w:val="center"/>
              <w:rPr>
                <w:rFonts w:ascii="仿宋_GB2312" w:eastAsia="仿宋_GB2312" w:hAnsi="仿宋_GB2312" w:cs="仿宋_GB2312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t>一、共性清单</w:t>
            </w:r>
          </w:p>
        </w:tc>
      </w:tr>
      <w:tr>
        <w:trPr>
          <w:gridAfter w:val="1"/>
          <w:wAfter w:w="335" w:type="dxa"/>
          <w:trHeight w:val="584"/>
        </w:trPr>
        <w:tc>
          <w:tcPr>
            <w:tcW w:w="723" w:type="dxa"/>
            <w:gridSpan w:val="2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序号</w:t>
            </w:r>
          </w:p>
        </w:tc>
        <w:tc>
          <w:tcPr>
            <w:tcW w:w="14115" w:type="dxa"/>
            <w:gridSpan w:val="9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jc w:val="center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黑体" w:eastAsia="黑体" w:hAnsi="黑体" w:cs="黑体" w:hint="eastAsia"/>
                <w:sz w:val="24"/>
              </w:rPr>
              <w:t>具体内容</w:t>
            </w:r>
          </w:p>
        </w:tc>
      </w:tr>
      <w:tr>
        <w:trPr>
          <w:gridAfter w:val="1"/>
          <w:wAfter w:w="335" w:type="dxa"/>
          <w:trHeight w:val="744"/>
        </w:trPr>
        <w:tc>
          <w:tcPr>
            <w:tcW w:w="723" w:type="dxa"/>
            <w:gridSpan w:val="2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1</w:t>
            </w:r>
          </w:p>
        </w:tc>
        <w:tc>
          <w:tcPr>
            <w:tcW w:w="14115" w:type="dxa"/>
            <w:gridSpan w:val="9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深入学习宣传习近平法治思想，将习近平法治思想作为党委（党组）理论中心组学习重点内容，纳入国家工作人员法治培训内容，积极参与国家工作人员学法用法和考试平台专题学习和考试，推动习近平法治思想进企业、进农村、进机关、进校园、进社区、进网络。</w:t>
            </w:r>
          </w:p>
        </w:tc>
      </w:tr>
      <w:tr>
        <w:trPr>
          <w:gridAfter w:val="1"/>
          <w:wAfter w:w="335" w:type="dxa"/>
          <w:trHeight w:val="744"/>
        </w:trPr>
        <w:tc>
          <w:tcPr>
            <w:tcW w:w="723" w:type="dxa"/>
            <w:gridSpan w:val="2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2</w:t>
            </w:r>
          </w:p>
        </w:tc>
        <w:tc>
          <w:tcPr>
            <w:tcW w:w="14115" w:type="dxa"/>
            <w:gridSpan w:val="9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深化《民法典》学习宣传教育，通过创作公益广告、短视频、全媒体宣传、案例宣传等方式，广泛开展民法典宣传、普及、阐释工作。</w:t>
            </w:r>
          </w:p>
        </w:tc>
      </w:tr>
      <w:tr>
        <w:trPr>
          <w:gridAfter w:val="1"/>
          <w:wAfter w:w="335" w:type="dxa"/>
          <w:trHeight w:val="744"/>
        </w:trPr>
        <w:tc>
          <w:tcPr>
            <w:tcW w:w="723" w:type="dxa"/>
            <w:gridSpan w:val="2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14115" w:type="dxa"/>
            <w:gridSpan w:val="9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突出宣传与兴山县“十四五”规划目标密切相关法律法规，重点宣传反不正当竞争法、反垄断法、优化营商环境条例等法律法规，组织开展优化营商环境专项法治宣传。大力宣传乡村振兴促进法、长江保护法、旅游法、宜昌市文明行为促进条例等法律法规。</w:t>
            </w:r>
          </w:p>
        </w:tc>
      </w:tr>
      <w:tr>
        <w:trPr>
          <w:gridAfter w:val="1"/>
          <w:wAfter w:w="335" w:type="dxa"/>
          <w:trHeight w:val="744"/>
        </w:trPr>
        <w:tc>
          <w:tcPr>
            <w:tcW w:w="723" w:type="dxa"/>
            <w:gridSpan w:val="2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4</w:t>
            </w:r>
          </w:p>
        </w:tc>
        <w:tc>
          <w:tcPr>
            <w:tcW w:w="14115" w:type="dxa"/>
            <w:gridSpan w:val="9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  <w:lang w:val="zh-CN"/>
              </w:rPr>
              <w:t>组织开展“12·4”国家宪法日和“宪法宣传周”集中宣传活动，加强国旗法、国歌法、选举法等宪法相关</w:t>
            </w:r>
            <w:r>
              <w:rPr>
                <w:rFonts w:ascii="宋体" w:hAnsi="宋体" w:cs="宋体" w:hint="eastAsia"/>
                <w:sz w:val="18"/>
                <w:szCs w:val="18"/>
              </w:rPr>
              <w:t>法律</w:t>
            </w:r>
            <w:r>
              <w:rPr>
                <w:rFonts w:ascii="宋体" w:hAnsi="宋体" w:cs="宋体" w:hint="eastAsia"/>
                <w:sz w:val="18"/>
                <w:szCs w:val="18"/>
                <w:lang w:val="zh-CN"/>
              </w:rPr>
              <w:t>的学习宣传，落实国家工作人员宪法宣誓制度。</w:t>
            </w:r>
          </w:p>
        </w:tc>
      </w:tr>
      <w:tr>
        <w:trPr>
          <w:gridAfter w:val="1"/>
          <w:wAfter w:w="335" w:type="dxa"/>
          <w:trHeight w:val="744"/>
        </w:trPr>
        <w:tc>
          <w:tcPr>
            <w:tcW w:w="723" w:type="dxa"/>
            <w:gridSpan w:val="2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5</w:t>
            </w:r>
          </w:p>
        </w:tc>
        <w:tc>
          <w:tcPr>
            <w:tcW w:w="14115" w:type="dxa"/>
            <w:gridSpan w:val="9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深入宣传与市域社会治理现代化密切相关的法律法规，大力宣传总体国家安全观和国家安全法等相关法律法规，加强反有组织犯罪法、社区矫正法、法律援助法等宣传教育，围绕粮食安全、食品药品安全、安全生产等群众关心的热点焦点开展经常性法治宣传活动。</w:t>
            </w:r>
          </w:p>
        </w:tc>
      </w:tr>
      <w:tr>
        <w:trPr>
          <w:gridAfter w:val="1"/>
          <w:wAfter w:w="335" w:type="dxa"/>
          <w:trHeight w:val="744"/>
        </w:trPr>
        <w:tc>
          <w:tcPr>
            <w:tcW w:w="723" w:type="dxa"/>
            <w:gridSpan w:val="2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6</w:t>
            </w:r>
          </w:p>
        </w:tc>
        <w:tc>
          <w:tcPr>
            <w:tcW w:w="14115" w:type="dxa"/>
            <w:gridSpan w:val="9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  <w:lang w:val="zh-CN"/>
              </w:rPr>
              <w:t>开展党内法规知识学习宣传活动，</w:t>
            </w:r>
            <w:r>
              <w:rPr>
                <w:rFonts w:ascii="宋体" w:hAnsi="宋体" w:cs="宋体" w:hint="eastAsia"/>
                <w:sz w:val="18"/>
                <w:szCs w:val="18"/>
              </w:rPr>
              <w:t>推动</w:t>
            </w:r>
            <w:r>
              <w:rPr>
                <w:rFonts w:ascii="宋体" w:hAnsi="宋体" w:cs="宋体" w:hint="eastAsia"/>
                <w:sz w:val="18"/>
                <w:szCs w:val="18"/>
                <w:lang w:val="zh-CN"/>
              </w:rPr>
              <w:t>党建工作和法治建设工作相互融合。</w:t>
            </w:r>
          </w:p>
        </w:tc>
      </w:tr>
      <w:tr>
        <w:trPr>
          <w:gridAfter w:val="1"/>
          <w:wAfter w:w="335" w:type="dxa"/>
          <w:trHeight w:val="744"/>
        </w:trPr>
        <w:tc>
          <w:tcPr>
            <w:tcW w:w="723" w:type="dxa"/>
            <w:gridSpan w:val="2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7</w:t>
            </w:r>
          </w:p>
        </w:tc>
        <w:tc>
          <w:tcPr>
            <w:tcW w:w="14115" w:type="dxa"/>
            <w:gridSpan w:val="9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落实好党委（党组）理论学习中心组学法、领导班子和领导干部年度述法制度和国家工作人员日常学法、法治培训、学法用法考试考核制度，组织好本部门本系统工作人员参加2022年国家工作人员学法用法考试工作，确保参与率、合格率达到100%，优秀率达到95%。</w:t>
            </w:r>
          </w:p>
        </w:tc>
      </w:tr>
      <w:tr>
        <w:trPr>
          <w:gridAfter w:val="1"/>
          <w:wAfter w:w="335" w:type="dxa"/>
          <w:trHeight w:val="744"/>
        </w:trPr>
        <w:tc>
          <w:tcPr>
            <w:tcW w:w="723" w:type="dxa"/>
            <w:gridSpan w:val="2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8</w:t>
            </w:r>
          </w:p>
        </w:tc>
        <w:tc>
          <w:tcPr>
            <w:tcW w:w="14115" w:type="dxa"/>
            <w:gridSpan w:val="9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落实“谁执法谁普法”“谁主管谁普法”“谁服务谁普法”普法责任制，持续开展“法律六进”、旁听庭审等活动，充分利用宣传日（周、月）、法律法规颁布实施日、纪念日等重要时间节点，面向社会集中开展专题法治宣传教育活动。各执法司法机关要在执法司法和法律服务过程中进行“以案释法”，运用典型案例向社会公众开展普法活动。</w:t>
            </w:r>
          </w:p>
        </w:tc>
      </w:tr>
      <w:tr>
        <w:trPr>
          <w:gridAfter w:val="1"/>
          <w:wAfter w:w="335" w:type="dxa"/>
          <w:trHeight w:val="744"/>
        </w:trPr>
        <w:tc>
          <w:tcPr>
            <w:tcW w:w="723" w:type="dxa"/>
            <w:gridSpan w:val="2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20"/>
                <w:szCs w:val="20"/>
              </w:rPr>
            </w:pPr>
            <w:r>
              <w:rPr>
                <w:rFonts w:ascii="宋体" w:hAnsi="宋体" w:cs="宋体" w:hint="eastAsia"/>
                <w:sz w:val="20"/>
                <w:szCs w:val="20"/>
              </w:rPr>
              <w:t>9</w:t>
            </w:r>
          </w:p>
        </w:tc>
        <w:tc>
          <w:tcPr>
            <w:tcW w:w="14115" w:type="dxa"/>
            <w:gridSpan w:val="9"/>
            <w:vAlign w:val="center"/>
          </w:tcPr>
          <w:p>
            <w:pPr>
              <w:pStyle w:val="a4"/>
              <w:tabs>
                <w:tab w:val="left" w:pos="4619"/>
              </w:tabs>
              <w:spacing w:after="0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积极参加法治微视频、微动漫等法治文化作品征集评选，加强机关法治文化阵地建设，积极运用新媒体新技术开展法治宣传。</w:t>
            </w:r>
          </w:p>
        </w:tc>
      </w:tr>
      <w:tr>
        <w:tblPrEx>
          <w:jc w:val="center"/>
          <w:tblCellMar>
            <w:left w:w="0" w:type="dxa"/>
            <w:right w:w="0" w:type="dxa"/>
          </w:tblCellMar>
        </w:tblPrEx>
        <w:trPr>
          <w:gridBefore w:val="1"/>
          <w:wBefore w:w="526" w:type="dxa"/>
          <w:trHeight w:val="460"/>
          <w:jc w:val="center"/>
        </w:trPr>
        <w:tc>
          <w:tcPr>
            <w:tcW w:w="14647" w:type="dxa"/>
            <w:gridSpan w:val="11"/>
            <w:vAlign w:val="center"/>
          </w:tcPr>
          <w:p>
            <w:pPr>
              <w:tabs>
                <w:tab w:val="left" w:pos="3669"/>
                <w:tab w:val="left" w:pos="10372"/>
                <w:tab w:val="left" w:pos="11315"/>
                <w:tab w:val="left" w:pos="11915"/>
                <w:tab w:val="left" w:pos="12515"/>
              </w:tabs>
              <w:autoSpaceDE w:val="0"/>
              <w:autoSpaceDN w:val="0"/>
              <w:spacing w:line="28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 w:val="28"/>
                <w:szCs w:val="28"/>
              </w:rPr>
              <w:lastRenderedPageBreak/>
              <w:t>二、个性清单</w:t>
            </w:r>
          </w:p>
        </w:tc>
      </w:tr>
      <w:tr>
        <w:tblPrEx>
          <w:jc w:val="center"/>
          <w:tblCellMar>
            <w:left w:w="0" w:type="dxa"/>
            <w:right w:w="0" w:type="dxa"/>
          </w:tblCellMar>
        </w:tblPrEx>
        <w:trPr>
          <w:gridBefore w:val="1"/>
          <w:wBefore w:w="526" w:type="dxa"/>
          <w:trHeight w:val="648"/>
          <w:jc w:val="center"/>
        </w:trPr>
        <w:tc>
          <w:tcPr>
            <w:tcW w:w="710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县人民法  院</w:t>
            </w:r>
          </w:p>
        </w:tc>
        <w:tc>
          <w:tcPr>
            <w:tcW w:w="1297" w:type="dxa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系统内普法</w:t>
            </w:r>
          </w:p>
        </w:tc>
        <w:tc>
          <w:tcPr>
            <w:tcW w:w="2313" w:type="dxa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本单位干警</w:t>
            </w:r>
          </w:p>
        </w:tc>
        <w:tc>
          <w:tcPr>
            <w:tcW w:w="2074" w:type="dxa"/>
            <w:vMerge w:val="restart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民法典、新修订的民事诉讼法等</w:t>
            </w:r>
          </w:p>
        </w:tc>
        <w:tc>
          <w:tcPr>
            <w:tcW w:w="3641" w:type="dxa"/>
            <w:vAlign w:val="center"/>
          </w:tcPr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普法讲座、学习培训、自学</w:t>
            </w:r>
          </w:p>
        </w:tc>
        <w:tc>
          <w:tcPr>
            <w:tcW w:w="1062" w:type="dxa"/>
            <w:vMerge w:val="restart"/>
            <w:vAlign w:val="center"/>
          </w:tcPr>
          <w:p>
            <w:pPr>
              <w:tabs>
                <w:tab w:val="left" w:pos="3669"/>
                <w:tab w:val="left" w:pos="10372"/>
                <w:tab w:val="left" w:pos="11315"/>
                <w:tab w:val="left" w:pos="11915"/>
                <w:tab w:val="left" w:pos="12515"/>
              </w:tabs>
              <w:autoSpaceDE w:val="0"/>
              <w:autoSpaceDN w:val="0"/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两微一端</w:t>
            </w:r>
          </w:p>
        </w:tc>
        <w:tc>
          <w:tcPr>
            <w:tcW w:w="1170" w:type="dxa"/>
            <w:vMerge w:val="restart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胡军</w:t>
            </w:r>
          </w:p>
        </w:tc>
        <w:tc>
          <w:tcPr>
            <w:tcW w:w="1119" w:type="dxa"/>
            <w:vMerge w:val="restart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综合办公室</w:t>
            </w:r>
          </w:p>
        </w:tc>
        <w:tc>
          <w:tcPr>
            <w:tcW w:w="1261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彭叶琼19986680678</w:t>
            </w:r>
          </w:p>
        </w:tc>
      </w:tr>
      <w:tr>
        <w:tblPrEx>
          <w:jc w:val="center"/>
          <w:tblCellMar>
            <w:left w:w="0" w:type="dxa"/>
            <w:right w:w="0" w:type="dxa"/>
          </w:tblCellMar>
        </w:tblPrEx>
        <w:trPr>
          <w:gridBefore w:val="1"/>
          <w:wBefore w:w="526" w:type="dxa"/>
          <w:trHeight w:val="983"/>
          <w:jc w:val="center"/>
        </w:trPr>
        <w:tc>
          <w:tcPr>
            <w:tcW w:w="710" w:type="dxa"/>
            <w:gridSpan w:val="2"/>
            <w:vMerge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297" w:type="dxa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社会面普法</w:t>
            </w:r>
          </w:p>
        </w:tc>
        <w:tc>
          <w:tcPr>
            <w:tcW w:w="2313" w:type="dxa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人民群众</w:t>
            </w:r>
          </w:p>
        </w:tc>
        <w:tc>
          <w:tcPr>
            <w:tcW w:w="2074" w:type="dxa"/>
            <w:vMerge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641" w:type="dxa"/>
            <w:vAlign w:val="center"/>
          </w:tcPr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媒体宣传、巡回审判、宪法宣传日</w:t>
            </w:r>
          </w:p>
        </w:tc>
        <w:tc>
          <w:tcPr>
            <w:tcW w:w="1062" w:type="dxa"/>
            <w:vMerge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70" w:type="dxa"/>
            <w:vMerge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19" w:type="dxa"/>
            <w:vMerge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261" w:type="dxa"/>
            <w:gridSpan w:val="2"/>
            <w:vMerge/>
            <w:vAlign w:val="center"/>
          </w:tcPr>
          <w:p>
            <w:pPr>
              <w:tabs>
                <w:tab w:val="left" w:pos="405"/>
              </w:tabs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jc w:val="center"/>
          <w:tblCellMar>
            <w:left w:w="0" w:type="dxa"/>
            <w:right w:w="0" w:type="dxa"/>
          </w:tblCellMar>
        </w:tblPrEx>
        <w:trPr>
          <w:gridBefore w:val="1"/>
          <w:wBefore w:w="526" w:type="dxa"/>
          <w:trHeight w:val="1265"/>
          <w:jc w:val="center"/>
        </w:trPr>
        <w:tc>
          <w:tcPr>
            <w:tcW w:w="710" w:type="dxa"/>
            <w:gridSpan w:val="2"/>
            <w:vMerge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297" w:type="dxa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执法、法律服务过程中普法</w:t>
            </w:r>
          </w:p>
        </w:tc>
        <w:tc>
          <w:tcPr>
            <w:tcW w:w="2313" w:type="dxa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案件当事人、诉讼参与人、庭审旁听人员、帮扶村村民、本单位干警等</w:t>
            </w:r>
          </w:p>
        </w:tc>
        <w:tc>
          <w:tcPr>
            <w:tcW w:w="2074" w:type="dxa"/>
            <w:vMerge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641" w:type="dxa"/>
            <w:vAlign w:val="center"/>
          </w:tcPr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公开庭审、法律六进</w:t>
            </w:r>
          </w:p>
        </w:tc>
        <w:tc>
          <w:tcPr>
            <w:tcW w:w="1062" w:type="dxa"/>
            <w:vMerge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70" w:type="dxa"/>
            <w:vMerge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19" w:type="dxa"/>
            <w:vMerge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261" w:type="dxa"/>
            <w:gridSpan w:val="2"/>
            <w:vMerge/>
            <w:vAlign w:val="center"/>
          </w:tcPr>
          <w:p>
            <w:pPr>
              <w:tabs>
                <w:tab w:val="left" w:pos="405"/>
              </w:tabs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jc w:val="center"/>
          <w:tblCellMar>
            <w:left w:w="0" w:type="dxa"/>
            <w:right w:w="0" w:type="dxa"/>
          </w:tblCellMar>
        </w:tblPrEx>
        <w:trPr>
          <w:gridBefore w:val="1"/>
          <w:wBefore w:w="526" w:type="dxa"/>
          <w:trHeight w:val="996"/>
          <w:jc w:val="center"/>
        </w:trPr>
        <w:tc>
          <w:tcPr>
            <w:tcW w:w="710" w:type="dxa"/>
            <w:gridSpan w:val="2"/>
            <w:vMerge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297" w:type="dxa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典型案例释法</w:t>
            </w:r>
          </w:p>
        </w:tc>
        <w:tc>
          <w:tcPr>
            <w:tcW w:w="2313" w:type="dxa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庭审旁听人员、巡回审判参与人员</w:t>
            </w:r>
          </w:p>
        </w:tc>
        <w:tc>
          <w:tcPr>
            <w:tcW w:w="2074" w:type="dxa"/>
            <w:vMerge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641" w:type="dxa"/>
            <w:vAlign w:val="center"/>
          </w:tcPr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公开庭审、巡回审判、法律讲座</w:t>
            </w:r>
          </w:p>
        </w:tc>
        <w:tc>
          <w:tcPr>
            <w:tcW w:w="1062" w:type="dxa"/>
            <w:vMerge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70" w:type="dxa"/>
            <w:vMerge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19" w:type="dxa"/>
            <w:vMerge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261" w:type="dxa"/>
            <w:gridSpan w:val="2"/>
            <w:vMerge/>
            <w:vAlign w:val="center"/>
          </w:tcPr>
          <w:p>
            <w:pPr>
              <w:tabs>
                <w:tab w:val="left" w:pos="405"/>
              </w:tabs>
              <w:jc w:val="center"/>
              <w:rPr>
                <w:rFonts w:ascii="宋体" w:hAnsi="宋体" w:cs="宋体"/>
                <w:szCs w:val="21"/>
              </w:rPr>
            </w:pPr>
          </w:p>
        </w:tc>
      </w:tr>
      <w:tr>
        <w:tblPrEx>
          <w:jc w:val="center"/>
          <w:tblCellMar>
            <w:left w:w="0" w:type="dxa"/>
            <w:right w:w="0" w:type="dxa"/>
          </w:tblCellMar>
        </w:tblPrEx>
        <w:trPr>
          <w:gridBefore w:val="1"/>
          <w:wBefore w:w="526" w:type="dxa"/>
          <w:trHeight w:val="1114"/>
          <w:jc w:val="center"/>
        </w:trPr>
        <w:tc>
          <w:tcPr>
            <w:tcW w:w="710" w:type="dxa"/>
            <w:gridSpan w:val="2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297" w:type="dxa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法治文化建设</w:t>
            </w:r>
          </w:p>
        </w:tc>
        <w:tc>
          <w:tcPr>
            <w:tcW w:w="2313" w:type="dxa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本单位干警</w:t>
            </w: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641" w:type="dxa"/>
            <w:vAlign w:val="center"/>
          </w:tcPr>
          <w:p>
            <w:pPr>
              <w:jc w:val="left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ascii="宋体" w:hAnsi="宋体" w:cs="宋体" w:hint="eastAsia"/>
                <w:sz w:val="18"/>
                <w:szCs w:val="18"/>
              </w:rPr>
              <w:t>法律知识竞赛</w:t>
            </w:r>
          </w:p>
        </w:tc>
        <w:tc>
          <w:tcPr>
            <w:tcW w:w="1062" w:type="dxa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70" w:type="dxa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19" w:type="dxa"/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261" w:type="dxa"/>
            <w:gridSpan w:val="2"/>
            <w:vAlign w:val="center"/>
          </w:tcPr>
          <w:p>
            <w:pPr>
              <w:tabs>
                <w:tab w:val="left" w:pos="405"/>
              </w:tabs>
              <w:jc w:val="center"/>
              <w:rPr>
                <w:rFonts w:ascii="宋体" w:hAnsi="宋体" w:cs="宋体"/>
                <w:szCs w:val="21"/>
              </w:rPr>
            </w:pPr>
          </w:p>
        </w:tc>
      </w:tr>
    </w:tbl>
    <w:p/>
    <w:sectPr>
      <w:pgSz w:w="16838" w:h="11906" w:orient="landscape"/>
      <w:pgMar w:top="1134" w:right="1440" w:bottom="1134" w:left="1440" w:header="851" w:footer="992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>
      <w:r>
        <w:separator/>
      </w:r>
    </w:p>
  </w:endnote>
  <w:endnote w:type="continuationSeparator" w:id="1">
    <w:p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>
      <w:r>
        <w:separator/>
      </w:r>
    </w:p>
  </w:footnote>
  <w:footnote w:type="continuationSeparator" w:id="1">
    <w:p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ED5A8CA"/>
    <w:multiLevelType w:val="singleLevel"/>
    <w:tmpl w:val="AED5A8CA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DE0E054E"/>
    <w:multiLevelType w:val="singleLevel"/>
    <w:tmpl w:val="DE0E054E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67BC1001"/>
    <w:multiLevelType w:val="singleLevel"/>
    <w:tmpl w:val="67BC100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Body Text Indent" w:qFormat="1"/>
    <w:lsdException w:name="Subtitle" w:qFormat="1"/>
    <w:lsdException w:name="Body Text First Indent 2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unhideWhenUsed="1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2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uiPriority w:val="1"/>
    <w:qFormat/>
    <w:pPr>
      <w:spacing w:before="58"/>
      <w:outlineLvl w:val="0"/>
    </w:pPr>
    <w:rPr>
      <w:rFonts w:ascii="宋体" w:hAnsi="宋体" w:cs="宋体"/>
      <w:sz w:val="44"/>
      <w:szCs w:val="44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next w:val="a"/>
    <w:qFormat/>
    <w:pPr>
      <w:ind w:firstLineChars="200" w:firstLine="420"/>
    </w:pPr>
  </w:style>
  <w:style w:type="paragraph" w:styleId="a3">
    <w:name w:val="Body Text Indent"/>
    <w:basedOn w:val="a"/>
    <w:next w:val="2"/>
    <w:qFormat/>
    <w:pPr>
      <w:spacing w:after="120"/>
      <w:ind w:leftChars="200" w:left="420"/>
    </w:pPr>
    <w:rPr>
      <w:rFonts w:ascii="Calibri" w:hAnsi="Calibri"/>
    </w:rPr>
  </w:style>
  <w:style w:type="paragraph" w:styleId="a4">
    <w:name w:val="Body Text"/>
    <w:basedOn w:val="a"/>
    <w:link w:val="Char"/>
    <w:qFormat/>
    <w:pPr>
      <w:spacing w:after="120"/>
    </w:pPr>
  </w:style>
  <w:style w:type="paragraph" w:styleId="a5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  <w:style w:type="table" w:styleId="a8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qFormat/>
    <w:rPr>
      <w:color w:val="0000FF"/>
      <w:u w:val="single"/>
    </w:rPr>
  </w:style>
  <w:style w:type="paragraph" w:customStyle="1" w:styleId="TableParagraph">
    <w:name w:val="Table Paragraph"/>
    <w:basedOn w:val="a"/>
    <w:uiPriority w:val="1"/>
    <w:qFormat/>
    <w:rPr>
      <w:rFonts w:ascii="宋体" w:hAnsi="宋体" w:cs="宋体"/>
      <w:lang w:val="zh-CN" w:bidi="zh-CN"/>
    </w:rPr>
  </w:style>
  <w:style w:type="character" w:customStyle="1" w:styleId="Char">
    <w:name w:val="正文文本 Char"/>
    <w:link w:val="a4"/>
    <w:qFormat/>
  </w:style>
  <w:style w:type="paragraph" w:styleId="aa">
    <w:name w:val="List Paragraph"/>
    <w:basedOn w:val="a"/>
    <w:uiPriority w:val="99"/>
    <w:unhideWhenUsed/>
    <w:qFormat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1060</Words>
  <Characters>113</Characters>
  <Application>Microsoft Office Word</Application>
  <DocSecurity>0</DocSecurity>
  <Lines>1</Lines>
  <Paragraphs>2</Paragraphs>
  <ScaleCrop>false</ScaleCrop>
  <Company>China</Company>
  <LinksUpToDate>false</LinksUpToDate>
  <CharactersWithSpaces>1171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陈瑶</dc:creator>
  <cp:lastModifiedBy>彭叶琼</cp:lastModifiedBy>
  <cp:revision>3</cp:revision>
  <dcterms:created xsi:type="dcterms:W3CDTF">2022-04-27T02:03:00Z</dcterms:created>
  <dcterms:modified xsi:type="dcterms:W3CDTF">2022-04-27T02:06:00Z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7ED830655865480FA1144C01D8202D5D</vt:lpwstr>
  </property>
  <property fmtid="{D5CDD505-2E9C-101B-9397-08002B2CF9AE}" pid="4" name="commondata">
    <vt:lpwstr>eyJoZGlkIjoiM2VjZTkzNzI5YWY2NjMyM2UzNjkyZDc5Mjc0ZTNkYzgifQ==</vt:lpwstr>
  </property>
</Properties>
</file>